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920C3">
      <w:pPr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</w:t>
      </w:r>
    </w:p>
    <w:p w:rsidR="00774908" w:rsidRDefault="00774908" w:rsidP="00AA6977">
      <w:pPr>
        <w:pStyle w:val="Default"/>
        <w:jc w:val="both"/>
      </w:pPr>
    </w:p>
    <w:p w:rsidR="00E43039" w:rsidRDefault="004B57E5" w:rsidP="00AA6977">
      <w:pPr>
        <w:pStyle w:val="Default"/>
        <w:jc w:val="both"/>
      </w:pPr>
      <w:r>
        <w:t>P</w:t>
      </w:r>
      <w:r w:rsidR="00164B23" w:rsidRPr="00164B23">
        <w:t xml:space="preserve">rocedura aperta ai sensi del </w:t>
      </w:r>
      <w:proofErr w:type="spellStart"/>
      <w:r w:rsidR="00164B23" w:rsidRPr="00164B23">
        <w:t>D.Lgs.</w:t>
      </w:r>
      <w:proofErr w:type="spellEnd"/>
      <w:r w:rsidR="00164B23" w:rsidRPr="00164B23">
        <w:t xml:space="preserve"> n.</w:t>
      </w:r>
      <w:r>
        <w:t xml:space="preserve"> </w:t>
      </w:r>
      <w:r w:rsidR="00164B23" w:rsidRPr="00164B23">
        <w:t>163/</w:t>
      </w:r>
      <w:r w:rsidR="00241656">
        <w:t>2006</w:t>
      </w:r>
      <w:r w:rsidR="00B35B01" w:rsidRPr="00B35B01">
        <w:t xml:space="preserve"> </w:t>
      </w:r>
      <w:r w:rsidR="00B35B01" w:rsidRPr="00D8232B">
        <w:t>per la definizione di un accordo quadro con un unico operatore economico per l’affidamento della fornitura di nastri in acciaio al carbonio per la produzione di se</w:t>
      </w:r>
      <w:r w:rsidR="00B35B01">
        <w:t>milavorati per monetazione Euro</w:t>
      </w:r>
      <w:r w:rsidR="00241656">
        <w:t xml:space="preserve"> (1 cent, 2 cent, 5 cent).</w:t>
      </w:r>
    </w:p>
    <w:p w:rsidR="006259EC" w:rsidRDefault="006259EC" w:rsidP="00AA6977">
      <w:pPr>
        <w:pStyle w:val="Default"/>
        <w:jc w:val="both"/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b/>
          <w:bCs/>
          <w:sz w:val="20"/>
          <w:szCs w:val="20"/>
        </w:rPr>
      </w:pP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</w:t>
      </w:r>
      <w:proofErr w:type="spellStart"/>
      <w:r w:rsidRPr="000F5B29">
        <w:rPr>
          <w:b/>
          <w:bCs/>
          <w:sz w:val="22"/>
          <w:szCs w:val="22"/>
        </w:rPr>
        <w:t>D.Lgs.</w:t>
      </w:r>
      <w:proofErr w:type="spellEnd"/>
      <w:r w:rsidRPr="000F5B29">
        <w:rPr>
          <w:b/>
          <w:bCs/>
          <w:sz w:val="22"/>
          <w:szCs w:val="22"/>
        </w:rPr>
        <w:t xml:space="preserve">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56F3B" w:rsidRDefault="00756F3B" w:rsidP="00AA6977">
      <w:pPr>
        <w:pStyle w:val="Default"/>
        <w:jc w:val="both"/>
        <w:rPr>
          <w:sz w:val="20"/>
          <w:szCs w:val="20"/>
        </w:rPr>
      </w:pPr>
    </w:p>
    <w:p w:rsidR="00774908" w:rsidRDefault="00756F3B" w:rsidP="00AA6977">
      <w:pPr>
        <w:pStyle w:val="Default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 xml:space="preserve">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b/>
          <w:bCs/>
          <w:sz w:val="22"/>
          <w:szCs w:val="22"/>
        </w:rPr>
      </w:pP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</w:t>
      </w:r>
      <w:proofErr w:type="spellStart"/>
      <w:r>
        <w:rPr>
          <w:b/>
          <w:bCs/>
          <w:sz w:val="20"/>
          <w:szCs w:val="20"/>
        </w:rPr>
        <w:t>D.Lgs.</w:t>
      </w:r>
      <w:proofErr w:type="spellEnd"/>
      <w:r>
        <w:rPr>
          <w:b/>
          <w:bCs/>
          <w:sz w:val="20"/>
          <w:szCs w:val="20"/>
        </w:rPr>
        <w:t xml:space="preserve">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="009E3146">
        <w:rPr>
          <w:b/>
        </w:rPr>
        <w:t>3</w:t>
      </w:r>
      <w:r w:rsidR="00EA73A0">
        <w:rPr>
          <w:b/>
        </w:rPr>
        <w:t>:</w:t>
      </w:r>
      <w:r w:rsidRPr="00F14503">
        <w:rPr>
          <w:b/>
          <w:sz w:val="23"/>
          <w:szCs w:val="23"/>
        </w:rPr>
        <w:t xml:space="preserve"> </w:t>
      </w:r>
    </w:p>
    <w:p w:rsidR="00E7289A" w:rsidRDefault="00E7289A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2410"/>
        <w:gridCol w:w="1980"/>
        <w:gridCol w:w="2414"/>
        <w:gridCol w:w="2977"/>
      </w:tblGrid>
      <w:tr w:rsidR="0053063C" w:rsidRPr="004C1A28" w:rsidTr="00D65113">
        <w:trPr>
          <w:trHeight w:val="888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Pr="004C1A28" w:rsidRDefault="0053063C" w:rsidP="00D651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Descrizione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Default="0053063C" w:rsidP="00D651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Base d’asta</w:t>
            </w:r>
          </w:p>
          <w:p w:rsidR="0053063C" w:rsidRDefault="0053063C" w:rsidP="00D65113">
            <w:pPr>
              <w:pStyle w:val="Corpodeltesto"/>
              <w:jc w:val="center"/>
            </w:pPr>
            <w:r>
              <w:t>(Tariffa “</w:t>
            </w:r>
            <w:r w:rsidRPr="00A62854">
              <w:rPr>
                <w:i/>
              </w:rPr>
              <w:t>P</w:t>
            </w:r>
            <w:r>
              <w:rPr>
                <w:i/>
                <w:vertAlign w:val="subscript"/>
              </w:rPr>
              <w:t>i</w:t>
            </w:r>
            <w:r>
              <w:t>”  Titolo 1 punto 5 Disciplinare)</w:t>
            </w:r>
          </w:p>
          <w:p w:rsidR="0053063C" w:rsidRPr="004C1A28" w:rsidRDefault="0053063C" w:rsidP="00D651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Euro/t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Default="0053063C" w:rsidP="00D65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Ribasso percentuale  espresso in cifre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Default="0053063C" w:rsidP="00D65113">
            <w:pPr>
              <w:pStyle w:val="Titolo1"/>
            </w:pPr>
            <w:r>
              <w:t xml:space="preserve">Ribasso percentuale </w:t>
            </w:r>
          </w:p>
          <w:p w:rsidR="0053063C" w:rsidRDefault="0053063C" w:rsidP="00D651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espresso in lettere</w:t>
            </w:r>
          </w:p>
        </w:tc>
      </w:tr>
      <w:tr w:rsidR="0053063C" w:rsidRPr="004C1A28" w:rsidTr="00D65113">
        <w:trPr>
          <w:trHeight w:val="127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Pr="000C40A2" w:rsidRDefault="0053063C" w:rsidP="00D65113">
            <w:pPr>
              <w:pStyle w:val="Default"/>
              <w:spacing w:before="180" w:after="120" w:line="240" w:lineRule="atLeast"/>
              <w:rPr>
                <w:bCs/>
                <w:i/>
                <w:iCs/>
                <w:color w:val="auto"/>
              </w:rPr>
            </w:pPr>
            <w:r>
              <w:rPr>
                <w:i/>
              </w:rPr>
              <w:t xml:space="preserve">Fornitura di </w:t>
            </w:r>
            <w:r w:rsidRPr="000C40A2">
              <w:rPr>
                <w:i/>
              </w:rPr>
              <w:t>nastri in acciaio al carbonio per la produzione di semilavorati finalizzati alla coniazione di monete</w:t>
            </w:r>
            <w:r>
              <w:rPr>
                <w:i/>
              </w:rPr>
              <w:t xml:space="preserve"> euro</w:t>
            </w:r>
            <w:r w:rsidRPr="000C40A2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r w:rsidRPr="000C40A2">
              <w:rPr>
                <w:i/>
                <w:color w:val="auto"/>
              </w:rPr>
              <w:t>1 cent, 2 cent, 5 cent</w:t>
            </w:r>
            <w:r>
              <w:rPr>
                <w:i/>
                <w:color w:val="auto"/>
              </w:rPr>
              <w:t>)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Pr="008E184E" w:rsidRDefault="00AE4056" w:rsidP="00D651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930</w:t>
            </w:r>
            <w:r w:rsidR="0053063C" w:rsidRPr="008E184E">
              <w:rPr>
                <w:bCs/>
                <w:sz w:val="24"/>
                <w:szCs w:val="24"/>
              </w:rPr>
              <w:t xml:space="preserve">,00 </w:t>
            </w:r>
            <w:r w:rsidR="0053063C" w:rsidRPr="008E184E">
              <w:rPr>
                <w:bCs/>
                <w:i/>
                <w:sz w:val="24"/>
                <w:szCs w:val="24"/>
              </w:rPr>
              <w:t>€/t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Default="0053063C" w:rsidP="00D65113">
            <w:pPr>
              <w:pStyle w:val="Default"/>
              <w:spacing w:before="180" w:after="120" w:line="240" w:lineRule="atLeast"/>
              <w:jc w:val="center"/>
            </w:pPr>
            <w:r>
              <w:t>_______________</w:t>
            </w:r>
            <w:r>
              <w:rPr>
                <w:bCs/>
                <w:iCs/>
              </w:rPr>
              <w:t>%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063C" w:rsidRDefault="0053063C" w:rsidP="00D65113">
            <w:pPr>
              <w:pStyle w:val="Default"/>
              <w:spacing w:before="180" w:after="120" w:line="240" w:lineRule="atLeast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(____________________)</w:t>
            </w:r>
          </w:p>
        </w:tc>
      </w:tr>
    </w:tbl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52427C" w:rsidRPr="008A37BB" w:rsidRDefault="0052427C" w:rsidP="00E7289A">
      <w:pPr>
        <w:pStyle w:val="Elenco"/>
        <w:ind w:left="0" w:firstLine="0"/>
        <w:jc w:val="both"/>
        <w:rPr>
          <w:snapToGrid w:val="0"/>
          <w:sz w:val="24"/>
          <w:u w:val="single"/>
        </w:rPr>
      </w:pPr>
      <w:r w:rsidRPr="008A37BB">
        <w:rPr>
          <w:snapToGrid w:val="0"/>
          <w:sz w:val="24"/>
        </w:rPr>
        <w:t xml:space="preserve">Si indicano </w:t>
      </w:r>
      <w:r w:rsidR="0060010D" w:rsidRPr="008A37BB">
        <w:rPr>
          <w:snapToGrid w:val="0"/>
          <w:sz w:val="24"/>
        </w:rPr>
        <w:t xml:space="preserve">i </w:t>
      </w:r>
      <w:r w:rsidR="0060010D" w:rsidRPr="0060010D">
        <w:rPr>
          <w:snapToGrid w:val="0"/>
          <w:sz w:val="24"/>
        </w:rPr>
        <w:t>costi</w:t>
      </w:r>
      <w:r w:rsidR="0060010D">
        <w:rPr>
          <w:snapToGrid w:val="0"/>
          <w:sz w:val="24"/>
        </w:rPr>
        <w:t xml:space="preserve"> della sicurezza afferenti all’esercizio dell’attività svolta </w:t>
      </w:r>
      <w:r w:rsidR="0060010D" w:rsidRPr="00D338E1">
        <w:rPr>
          <w:snapToGrid w:val="0"/>
          <w:sz w:val="24"/>
        </w:rPr>
        <w:t>dall’impresa</w:t>
      </w:r>
      <w:r w:rsidR="00726B54" w:rsidRPr="008A37BB">
        <w:rPr>
          <w:snapToGrid w:val="0"/>
          <w:sz w:val="24"/>
        </w:rPr>
        <w:t>, pari ad Euro _____________ (__________________________) (espressi in cifre ed in lettere).</w:t>
      </w:r>
    </w:p>
    <w:p w:rsidR="00E7289A" w:rsidRDefault="00E7289A" w:rsidP="00E7289A">
      <w:pPr>
        <w:pStyle w:val="Elenco"/>
        <w:ind w:left="0" w:firstLine="0"/>
        <w:jc w:val="both"/>
        <w:rPr>
          <w:b/>
          <w:snapToGrid w:val="0"/>
          <w:sz w:val="24"/>
          <w:u w:val="single"/>
        </w:rPr>
      </w:pPr>
    </w:p>
    <w:p w:rsidR="00756F3B" w:rsidRDefault="00756F3B" w:rsidP="00756F3B">
      <w:pPr>
        <w:pStyle w:val="Default"/>
        <w:spacing w:after="120"/>
        <w:ind w:right="40"/>
        <w:jc w:val="both"/>
      </w:pPr>
      <w:r w:rsidRPr="00B920C3">
        <w:t xml:space="preserve">L’offerta è irrevocabile e vincolante per 180 giorni </w:t>
      </w:r>
      <w:r w:rsidR="00B920C3" w:rsidRPr="00B920C3">
        <w:t>con</w:t>
      </w:r>
      <w:r w:rsidRPr="00B920C3">
        <w:t xml:space="preserve"> decorrenza dal termine di pres</w:t>
      </w:r>
      <w:r w:rsidR="00B920C3" w:rsidRPr="00B920C3">
        <w:t>entazione delle offerte indicato</w:t>
      </w:r>
      <w:r w:rsidRPr="00B920C3">
        <w:t xml:space="preserve"> nella documentazione di gara.</w:t>
      </w:r>
    </w:p>
    <w:p w:rsidR="00774908" w:rsidRDefault="00774908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 xml:space="preserve">, l’offerta deve essere sottoscritta dai rappresentanti (ovvero da procuratori dei rappresentanti, muniti di procura notarile) di tutte le Imprese </w:t>
      </w:r>
      <w:proofErr w:type="spellStart"/>
      <w:r>
        <w:rPr>
          <w:color w:val="auto"/>
        </w:rPr>
        <w:t>raggruppande</w:t>
      </w:r>
      <w:proofErr w:type="spellEnd"/>
      <w:r>
        <w:rPr>
          <w:color w:val="auto"/>
        </w:rPr>
        <w:t>/</w:t>
      </w:r>
      <w:proofErr w:type="spellStart"/>
      <w:r>
        <w:rPr>
          <w:color w:val="auto"/>
        </w:rPr>
        <w:t>consorziande</w:t>
      </w:r>
      <w:proofErr w:type="spellEnd"/>
      <w:r>
        <w:rPr>
          <w:color w:val="auto"/>
        </w:rPr>
        <w:t>;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lastRenderedPageBreak/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 xml:space="preserve">del </w:t>
      </w:r>
      <w:proofErr w:type="spellStart"/>
      <w:r w:rsidRPr="00C36647">
        <w:rPr>
          <w:i/>
          <w:color w:val="auto"/>
        </w:rPr>
        <w:t>D.Lgs.</w:t>
      </w:r>
      <w:proofErr w:type="spellEnd"/>
      <w:r w:rsidRPr="00C36647">
        <w:rPr>
          <w:i/>
          <w:color w:val="auto"/>
        </w:rPr>
        <w:t xml:space="preserve">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p w:rsidR="00774908" w:rsidRDefault="00774908" w:rsidP="000A27DE">
      <w:pPr>
        <w:pStyle w:val="Default"/>
        <w:spacing w:after="120"/>
        <w:ind w:right="40"/>
        <w:jc w:val="both"/>
        <w:rPr>
          <w:color w:val="auto"/>
        </w:rPr>
      </w:pPr>
    </w:p>
    <w:sectPr w:rsidR="00774908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259" w:rsidRDefault="00F21259" w:rsidP="00654BDA">
      <w:r>
        <w:separator/>
      </w:r>
    </w:p>
  </w:endnote>
  <w:endnote w:type="continuationSeparator" w:id="0">
    <w:p w:rsidR="00F21259" w:rsidRDefault="00F21259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BDA" w:rsidRDefault="0044203B">
    <w:pPr>
      <w:pStyle w:val="Pidipagina"/>
      <w:jc w:val="right"/>
    </w:pPr>
    <w:fldSimple w:instr=" PAGE   \* MERGEFORMAT ">
      <w:r w:rsidR="00241656">
        <w:rPr>
          <w:noProof/>
        </w:rPr>
        <w:t>1</w:t>
      </w:r>
    </w:fldSimple>
  </w:p>
  <w:p w:rsidR="00654BDA" w:rsidRDefault="00654BD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259" w:rsidRDefault="00F21259" w:rsidP="00654BDA">
      <w:r>
        <w:separator/>
      </w:r>
    </w:p>
  </w:footnote>
  <w:footnote w:type="continuationSeparator" w:id="0">
    <w:p w:rsidR="00F21259" w:rsidRDefault="00F21259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160DF"/>
    <w:rsid w:val="00047C8F"/>
    <w:rsid w:val="00052B41"/>
    <w:rsid w:val="00071101"/>
    <w:rsid w:val="000A27DE"/>
    <w:rsid w:val="000A38EC"/>
    <w:rsid w:val="000F5B29"/>
    <w:rsid w:val="00134ED9"/>
    <w:rsid w:val="00164B23"/>
    <w:rsid w:val="00171A7C"/>
    <w:rsid w:val="001C54B2"/>
    <w:rsid w:val="001E718D"/>
    <w:rsid w:val="00241656"/>
    <w:rsid w:val="00266166"/>
    <w:rsid w:val="00271DD9"/>
    <w:rsid w:val="00292481"/>
    <w:rsid w:val="00295BB8"/>
    <w:rsid w:val="002A203E"/>
    <w:rsid w:val="002C3263"/>
    <w:rsid w:val="00306CE9"/>
    <w:rsid w:val="00396831"/>
    <w:rsid w:val="003E1289"/>
    <w:rsid w:val="0044203B"/>
    <w:rsid w:val="00446159"/>
    <w:rsid w:val="004A360E"/>
    <w:rsid w:val="004B57E5"/>
    <w:rsid w:val="004D7C2C"/>
    <w:rsid w:val="004F526D"/>
    <w:rsid w:val="0052427C"/>
    <w:rsid w:val="0053063C"/>
    <w:rsid w:val="00531968"/>
    <w:rsid w:val="00541469"/>
    <w:rsid w:val="00552703"/>
    <w:rsid w:val="0055381B"/>
    <w:rsid w:val="005623D3"/>
    <w:rsid w:val="005B7C6B"/>
    <w:rsid w:val="005D5E43"/>
    <w:rsid w:val="005D6B4E"/>
    <w:rsid w:val="0060010D"/>
    <w:rsid w:val="0060025E"/>
    <w:rsid w:val="00623D5A"/>
    <w:rsid w:val="006259EC"/>
    <w:rsid w:val="00651987"/>
    <w:rsid w:val="00654BDA"/>
    <w:rsid w:val="00665F01"/>
    <w:rsid w:val="00690101"/>
    <w:rsid w:val="00695F91"/>
    <w:rsid w:val="00697BC6"/>
    <w:rsid w:val="006A0BDC"/>
    <w:rsid w:val="006A60FA"/>
    <w:rsid w:val="006C3F67"/>
    <w:rsid w:val="006D4896"/>
    <w:rsid w:val="006E7451"/>
    <w:rsid w:val="00704DB7"/>
    <w:rsid w:val="00725AF2"/>
    <w:rsid w:val="00726B54"/>
    <w:rsid w:val="00737724"/>
    <w:rsid w:val="0075414A"/>
    <w:rsid w:val="00756F3B"/>
    <w:rsid w:val="00765999"/>
    <w:rsid w:val="00774908"/>
    <w:rsid w:val="007A45B4"/>
    <w:rsid w:val="007B3F1A"/>
    <w:rsid w:val="007B486E"/>
    <w:rsid w:val="007B6B87"/>
    <w:rsid w:val="00826020"/>
    <w:rsid w:val="00842094"/>
    <w:rsid w:val="008825BE"/>
    <w:rsid w:val="00892F14"/>
    <w:rsid w:val="008A37BB"/>
    <w:rsid w:val="008E0596"/>
    <w:rsid w:val="00914FC7"/>
    <w:rsid w:val="00925982"/>
    <w:rsid w:val="00947A55"/>
    <w:rsid w:val="0099447E"/>
    <w:rsid w:val="009C585D"/>
    <w:rsid w:val="009C7BEA"/>
    <w:rsid w:val="009E3146"/>
    <w:rsid w:val="009E35CA"/>
    <w:rsid w:val="009F2CC1"/>
    <w:rsid w:val="00A87DC5"/>
    <w:rsid w:val="00A9795C"/>
    <w:rsid w:val="00AA6977"/>
    <w:rsid w:val="00AB17C7"/>
    <w:rsid w:val="00AD424E"/>
    <w:rsid w:val="00AE2A47"/>
    <w:rsid w:val="00AE4056"/>
    <w:rsid w:val="00AE7570"/>
    <w:rsid w:val="00B35B01"/>
    <w:rsid w:val="00B920C3"/>
    <w:rsid w:val="00B93A1B"/>
    <w:rsid w:val="00BC7A6A"/>
    <w:rsid w:val="00BD1664"/>
    <w:rsid w:val="00C05C42"/>
    <w:rsid w:val="00C13D97"/>
    <w:rsid w:val="00C43558"/>
    <w:rsid w:val="00CA7188"/>
    <w:rsid w:val="00D32A18"/>
    <w:rsid w:val="00D338E1"/>
    <w:rsid w:val="00D57972"/>
    <w:rsid w:val="00D85271"/>
    <w:rsid w:val="00E328BC"/>
    <w:rsid w:val="00E43039"/>
    <w:rsid w:val="00E46343"/>
    <w:rsid w:val="00E52122"/>
    <w:rsid w:val="00E6142F"/>
    <w:rsid w:val="00E66ACE"/>
    <w:rsid w:val="00E7289A"/>
    <w:rsid w:val="00E74557"/>
    <w:rsid w:val="00EA73A0"/>
    <w:rsid w:val="00EE3235"/>
    <w:rsid w:val="00F0765D"/>
    <w:rsid w:val="00F14503"/>
    <w:rsid w:val="00F21259"/>
    <w:rsid w:val="00F44663"/>
    <w:rsid w:val="00F55E07"/>
    <w:rsid w:val="00F814F2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locked/>
    <w:rsid w:val="0053063C"/>
    <w:pPr>
      <w:keepNext/>
      <w:autoSpaceDE w:val="0"/>
      <w:autoSpaceDN w:val="0"/>
      <w:adjustRightInd w:val="0"/>
      <w:jc w:val="center"/>
      <w:outlineLvl w:val="0"/>
    </w:pPr>
    <w:rPr>
      <w:b/>
      <w:bCs/>
      <w:color w:val="000000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character" w:customStyle="1" w:styleId="Titolo1Carattere">
    <w:name w:val="Titolo 1 Carattere"/>
    <w:basedOn w:val="Carpredefinitoparagrafo"/>
    <w:link w:val="Titolo1"/>
    <w:rsid w:val="0053063C"/>
    <w:rPr>
      <w:rFonts w:ascii="Times New Roman" w:eastAsia="Times New Roman" w:hAnsi="Times New Roman"/>
      <w:b/>
      <w:bCs/>
      <w:color w:val="000000"/>
      <w:sz w:val="24"/>
      <w:szCs w:val="24"/>
      <w:lang w:eastAsia="en-US"/>
    </w:rPr>
  </w:style>
  <w:style w:type="paragraph" w:styleId="Corpodeltesto">
    <w:name w:val="Body Text"/>
    <w:basedOn w:val="Normale"/>
    <w:link w:val="CorpodeltestoCarattere"/>
    <w:semiHidden/>
    <w:rsid w:val="0053063C"/>
    <w:pPr>
      <w:autoSpaceDE w:val="0"/>
      <w:autoSpaceDN w:val="0"/>
      <w:adjustRightInd w:val="0"/>
      <w:jc w:val="both"/>
    </w:pPr>
    <w:rPr>
      <w:b/>
      <w:bCs/>
      <w:color w:val="000000"/>
      <w:sz w:val="24"/>
      <w:szCs w:val="24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3063C"/>
    <w:rPr>
      <w:rFonts w:ascii="Times New Roman" w:eastAsia="Times New Roman" w:hAnsi="Times New Roman"/>
      <w:b/>
      <w:bCs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C067-7054-486D-9C03-7E85580A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505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g.placidi</cp:lastModifiedBy>
  <cp:revision>11</cp:revision>
  <cp:lastPrinted>2010-06-04T10:32:00Z</cp:lastPrinted>
  <dcterms:created xsi:type="dcterms:W3CDTF">2013-04-23T15:43:00Z</dcterms:created>
  <dcterms:modified xsi:type="dcterms:W3CDTF">2013-08-02T10:09:00Z</dcterms:modified>
</cp:coreProperties>
</file>